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D1" w:rsidRPr="005267D1" w:rsidRDefault="005267D1" w:rsidP="005267D1">
      <w:pPr>
        <w:pStyle w:val="indent1"/>
        <w:spacing w:before="0" w:beforeAutospacing="0" w:after="0" w:afterAutospacing="0"/>
        <w:jc w:val="right"/>
      </w:pPr>
      <w:r w:rsidRPr="005267D1">
        <w:rPr>
          <w:rStyle w:val="s10"/>
        </w:rPr>
        <w:t xml:space="preserve">Приложение </w:t>
      </w:r>
      <w:r>
        <w:rPr>
          <w:rStyle w:val="s10"/>
        </w:rPr>
        <w:t>№</w:t>
      </w:r>
      <w:r w:rsidRPr="005267D1">
        <w:rPr>
          <w:rStyle w:val="s10"/>
        </w:rPr>
        <w:t> 7</w:t>
      </w:r>
      <w:r w:rsidRPr="005267D1">
        <w:br/>
      </w:r>
      <w:r w:rsidRPr="005267D1">
        <w:rPr>
          <w:rStyle w:val="s10"/>
        </w:rPr>
        <w:t xml:space="preserve">к </w:t>
      </w:r>
      <w:hyperlink r:id="rId5" w:anchor="/document/411536939/entry/1000" w:history="1">
        <w:r w:rsidRPr="005267D1">
          <w:rPr>
            <w:rStyle w:val="a3"/>
            <w:color w:val="000000" w:themeColor="text1"/>
            <w:u w:val="none"/>
          </w:rPr>
          <w:t>Правилам</w:t>
        </w:r>
      </w:hyperlink>
      <w:r w:rsidRPr="005267D1">
        <w:rPr>
          <w:rStyle w:val="s10"/>
        </w:rPr>
        <w:t xml:space="preserve"> проведения досмотра,</w:t>
      </w:r>
      <w:r w:rsidRPr="005267D1">
        <w:br/>
      </w:r>
      <w:r w:rsidRPr="005267D1">
        <w:rPr>
          <w:rStyle w:val="s10"/>
        </w:rPr>
        <w:t>дополнительного досмотра, повторного</w:t>
      </w:r>
      <w:r w:rsidRPr="005267D1">
        <w:br/>
      </w:r>
      <w:r w:rsidRPr="005267D1">
        <w:rPr>
          <w:rStyle w:val="s10"/>
        </w:rPr>
        <w:t>досмотра, наблюдения и (или)</w:t>
      </w:r>
      <w:r w:rsidRPr="005267D1">
        <w:br/>
      </w:r>
      <w:r w:rsidRPr="005267D1">
        <w:rPr>
          <w:rStyle w:val="s10"/>
        </w:rPr>
        <w:t>собеседования в целях обеспечения</w:t>
      </w:r>
      <w:r w:rsidRPr="005267D1">
        <w:br/>
      </w:r>
      <w:r w:rsidRPr="005267D1">
        <w:rPr>
          <w:rStyle w:val="s10"/>
        </w:rPr>
        <w:t>транспортной безопасности,</w:t>
      </w:r>
      <w:r w:rsidRPr="005267D1">
        <w:br/>
      </w:r>
      <w:r w:rsidRPr="005267D1">
        <w:rPr>
          <w:rStyle w:val="s10"/>
        </w:rPr>
        <w:t xml:space="preserve">утвержденным </w:t>
      </w:r>
      <w:hyperlink r:id="rId6" w:anchor="/document/411536939/entry/0" w:history="1">
        <w:r w:rsidRPr="005267D1">
          <w:rPr>
            <w:rStyle w:val="a4"/>
            <w:i w:val="0"/>
            <w:color w:val="000000" w:themeColor="text1"/>
          </w:rPr>
          <w:t>приказом</w:t>
        </w:r>
      </w:hyperlink>
      <w:r w:rsidRPr="005267D1">
        <w:rPr>
          <w:rStyle w:val="s10"/>
          <w:i/>
          <w:color w:val="000000" w:themeColor="text1"/>
        </w:rPr>
        <w:t xml:space="preserve"> </w:t>
      </w:r>
      <w:r w:rsidRPr="005267D1">
        <w:rPr>
          <w:rStyle w:val="a4"/>
          <w:i w:val="0"/>
        </w:rPr>
        <w:t>Минтранса</w:t>
      </w:r>
      <w:r w:rsidRPr="005267D1">
        <w:rPr>
          <w:rStyle w:val="s10"/>
          <w:i/>
        </w:rPr>
        <w:t xml:space="preserve"> </w:t>
      </w:r>
      <w:r w:rsidRPr="005267D1">
        <w:rPr>
          <w:rStyle w:val="s10"/>
        </w:rPr>
        <w:t>России</w:t>
      </w:r>
      <w:r w:rsidRPr="005267D1">
        <w:br/>
      </w:r>
      <w:r w:rsidRPr="005267D1">
        <w:rPr>
          <w:rStyle w:val="s10"/>
        </w:rPr>
        <w:t xml:space="preserve">от 4 февраля 2025 г. </w:t>
      </w:r>
      <w:r w:rsidRPr="005267D1">
        <w:rPr>
          <w:rStyle w:val="s10"/>
        </w:rPr>
        <w:t>№</w:t>
      </w:r>
      <w:r w:rsidRPr="005267D1">
        <w:rPr>
          <w:rStyle w:val="s10"/>
        </w:rPr>
        <w:t> </w:t>
      </w:r>
      <w:r w:rsidRPr="005267D1">
        <w:rPr>
          <w:rStyle w:val="a4"/>
          <w:i w:val="0"/>
        </w:rPr>
        <w:t>34</w:t>
      </w:r>
    </w:p>
    <w:p w:rsidR="005267D1" w:rsidRDefault="005267D1" w:rsidP="005267D1">
      <w:pPr>
        <w:pStyle w:val="s3"/>
        <w:spacing w:before="0" w:beforeAutospacing="0" w:after="0" w:afterAutospacing="0"/>
      </w:pPr>
    </w:p>
    <w:p w:rsidR="005267D1" w:rsidRPr="005267D1" w:rsidRDefault="005267D1" w:rsidP="005267D1">
      <w:pPr>
        <w:pStyle w:val="s3"/>
        <w:spacing w:before="0" w:beforeAutospacing="0" w:after="0" w:afterAutospacing="0"/>
        <w:jc w:val="center"/>
        <w:rPr>
          <w:b/>
        </w:rPr>
      </w:pPr>
      <w:r w:rsidRPr="005267D1">
        <w:rPr>
          <w:b/>
        </w:rPr>
        <w:t>Перечень</w:t>
      </w:r>
      <w:r w:rsidRPr="005267D1">
        <w:rPr>
          <w:b/>
        </w:rPr>
        <w:br/>
        <w:t>опасных веществ и предметов, взрывчатых веществ, оружия, боеприпасов,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пассажирах</w:t>
      </w:r>
    </w:p>
    <w:p w:rsidR="005267D1" w:rsidRPr="005267D1" w:rsidRDefault="005267D1" w:rsidP="005267D1">
      <w:pPr>
        <w:pStyle w:val="s3"/>
        <w:spacing w:before="0" w:beforeAutospacing="0" w:after="0" w:afterAutospacing="0"/>
        <w:jc w:val="center"/>
        <w:rPr>
          <w:b/>
        </w:rPr>
      </w:pPr>
    </w:p>
    <w:p w:rsidR="005267D1" w:rsidRPr="005267D1" w:rsidRDefault="005267D1" w:rsidP="005267D1">
      <w:pPr>
        <w:pStyle w:val="s3"/>
        <w:spacing w:before="0" w:beforeAutospacing="0" w:after="0" w:afterAutospacing="0"/>
        <w:jc w:val="center"/>
        <w:rPr>
          <w:b/>
        </w:rPr>
      </w:pPr>
      <w:r w:rsidRPr="005267D1">
        <w:rPr>
          <w:b/>
        </w:rPr>
        <w:t>I. Опасные вещества и предметы, взрывчатые вещества, оружие, боеприпасы, запрещенные к перевозке на борту воздушного судна членами экипажа и пассажирами в зарегистрированном багаже и вещах, находящихся при пассажирах</w:t>
      </w:r>
    </w:p>
    <w:p w:rsidR="005267D1" w:rsidRPr="005267D1" w:rsidRDefault="005267D1" w:rsidP="005267D1">
      <w:pPr>
        <w:pStyle w:val="s3"/>
        <w:spacing w:before="0" w:beforeAutospacing="0" w:after="0" w:afterAutospacing="0"/>
        <w:jc w:val="both"/>
      </w:pP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1. Взрывчатые вещества, средства взрывания и предметы, ими начиненные, включая: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порох;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патроны боевые (в том числе малокалиберные);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патроны к газовому оружию;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капсюли (пистоны) охотничьи;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gramStart"/>
      <w:r w:rsidRPr="005267D1">
        <w:t>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  <w:proofErr w:type="gramEnd"/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тротил, динамит, тол, аммонал;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капсюли-детонаторы, электродетонаторы, </w:t>
      </w:r>
      <w:proofErr w:type="spellStart"/>
      <w:r w:rsidRPr="005267D1">
        <w:t>электровоспламенители</w:t>
      </w:r>
      <w:proofErr w:type="spellEnd"/>
      <w:r w:rsidRPr="005267D1">
        <w:t>, детонирующий и огнепроводный шнур.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2. Сжатые и сжиженные газы: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газы для бытового пользования, включая бутан-пропан;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газовые баллончики с наполнением </w:t>
      </w:r>
      <w:proofErr w:type="gramStart"/>
      <w:r w:rsidRPr="005267D1">
        <w:t>нервно-паралитического</w:t>
      </w:r>
      <w:proofErr w:type="gramEnd"/>
      <w:r w:rsidRPr="005267D1">
        <w:t xml:space="preserve"> и слезоточивого воздействия.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3. Легковоспламеняющиеся жидкости: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ацетон;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бензин;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пробы легковоспламеняющихся нефтепродуктов;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метанол;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spellStart"/>
      <w:r w:rsidRPr="005267D1">
        <w:t>метилацетат</w:t>
      </w:r>
      <w:proofErr w:type="spellEnd"/>
      <w:r w:rsidRPr="005267D1">
        <w:t xml:space="preserve"> (метиловый эфир);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сероуглерод;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эфиры;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spellStart"/>
      <w:r w:rsidRPr="005267D1">
        <w:t>этилцеллозола</w:t>
      </w:r>
      <w:proofErr w:type="spellEnd"/>
      <w:r w:rsidRPr="005267D1">
        <w:t>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4. Жидкости в контейнерах емкостью более 100 мл, в том числе заполненные частично, при их перевозке пассажирами в зарегистрированном багаже и вещах, находящихся при пассажирах.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5. Воспламеняющиеся твердые вещества: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подверженные самопроизвольному возгоранию;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выделяющие легковоспламеняющиеся газы при взаимодействии с водой: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калий, натрий, кальций металлический и их сплавы, кальций фосфористый;</w:t>
      </w:r>
    </w:p>
    <w:p w:rsidR="005267D1" w:rsidRDefault="005267D1" w:rsidP="005267D1">
      <w:pPr>
        <w:pStyle w:val="s1"/>
        <w:spacing w:before="0" w:beforeAutospacing="0" w:after="0" w:afterAutospacing="0"/>
        <w:jc w:val="both"/>
      </w:pPr>
      <w:proofErr w:type="gramStart"/>
      <w:r w:rsidRPr="005267D1">
        <w:t>относящиеся к категории воспламеняющихся твердых веществ, в том числе фосфор белый, желтый и красный.</w:t>
      </w:r>
      <w:proofErr w:type="gramEnd"/>
    </w:p>
    <w:p w:rsidR="005267D1" w:rsidRDefault="005267D1" w:rsidP="005267D1">
      <w:pPr>
        <w:pStyle w:val="s1"/>
        <w:spacing w:before="0" w:beforeAutospacing="0" w:after="0" w:afterAutospacing="0"/>
        <w:jc w:val="both"/>
      </w:pP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bookmarkStart w:id="0" w:name="_GoBack"/>
      <w:bookmarkEnd w:id="0"/>
      <w:r w:rsidRPr="005267D1">
        <w:lastRenderedPageBreak/>
        <w:t>6. Окисляющие вещества и органические перекиси: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нитроцеллюлозу коллоидную (в гранулах или хлопьях, сухую или влажную, содержащую менее 25% воды или растворителя);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нитроцеллюлозу коллоидную (в кусках, влажную, содержащую менее 25% спирта);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нитроцеллюлозу сухую или влажную, содержащую менее 30% растворителя или 20% воды.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7. Токсичные вещества.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8. Радиоактивные материалы.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9. Едкие и коррозирующие вещества: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сильные неорганические кислоты, в том числе соляную, серную, азотную;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сильные кислоты, в том числе </w:t>
      </w:r>
      <w:proofErr w:type="gramStart"/>
      <w:r w:rsidRPr="005267D1">
        <w:t>фтористо-водородную</w:t>
      </w:r>
      <w:proofErr w:type="gramEnd"/>
      <w:r w:rsidRPr="005267D1">
        <w:t xml:space="preserve"> (плавиковую) кислоту и коррозирующие вещества.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10. Ядовитые и отравляющие вещества: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ядовитые сильнодействующие и отравляющие вещества в жидком или твердом состоянии, упакованные в любую тару;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spellStart"/>
      <w:r w:rsidRPr="005267D1">
        <w:t>бруцин</w:t>
      </w:r>
      <w:proofErr w:type="spellEnd"/>
      <w:r w:rsidRPr="005267D1">
        <w:t>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никотин;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стрихнин;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spellStart"/>
      <w:r w:rsidRPr="005267D1">
        <w:t>тетрагидрофурфуриловый</w:t>
      </w:r>
      <w:proofErr w:type="spellEnd"/>
      <w:r w:rsidRPr="005267D1">
        <w:t xml:space="preserve"> спирт;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антифриз;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тормозную жидкость;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этиленгликоль;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ртуть за исключением случаев, указанных </w:t>
      </w:r>
      <w:r w:rsidRPr="005267D1">
        <w:rPr>
          <w:color w:val="000000" w:themeColor="text1"/>
        </w:rPr>
        <w:t xml:space="preserve">в </w:t>
      </w:r>
      <w:hyperlink r:id="rId7" w:anchor="/document/411536939/entry/1711" w:history="1">
        <w:r w:rsidRPr="005267D1">
          <w:rPr>
            <w:rStyle w:val="a3"/>
            <w:color w:val="000000" w:themeColor="text1"/>
            <w:u w:val="none"/>
          </w:rPr>
          <w:t>пунктах 11</w:t>
        </w:r>
      </w:hyperlink>
      <w:r w:rsidRPr="005267D1">
        <w:rPr>
          <w:color w:val="000000" w:themeColor="text1"/>
        </w:rPr>
        <w:t xml:space="preserve">, </w:t>
      </w:r>
      <w:hyperlink r:id="rId8" w:anchor="/document/411536939/entry/1712" w:history="1">
        <w:r w:rsidRPr="005267D1">
          <w:rPr>
            <w:rStyle w:val="a3"/>
            <w:color w:val="000000" w:themeColor="text1"/>
            <w:u w:val="none"/>
          </w:rPr>
          <w:t>12</w:t>
        </w:r>
      </w:hyperlink>
      <w:r w:rsidRPr="005267D1">
        <w:rPr>
          <w:color w:val="000000" w:themeColor="text1"/>
        </w:rPr>
        <w:t xml:space="preserve">, </w:t>
      </w:r>
      <w:hyperlink r:id="rId9" w:anchor="/document/411536939/entry/1715" w:history="1">
        <w:r w:rsidRPr="005267D1">
          <w:rPr>
            <w:rStyle w:val="a3"/>
            <w:color w:val="000000" w:themeColor="text1"/>
            <w:u w:val="none"/>
          </w:rPr>
          <w:t>15</w:t>
        </w:r>
      </w:hyperlink>
      <w:r w:rsidRPr="005267D1">
        <w:rPr>
          <w:color w:val="000000" w:themeColor="text1"/>
        </w:rPr>
        <w:t xml:space="preserve"> </w:t>
      </w:r>
      <w:r w:rsidRPr="005267D1">
        <w:t>настоящего приложения;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соли синильной кислоты и цианистые препараты;</w:t>
      </w:r>
    </w:p>
    <w:p w:rsid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циклон, </w:t>
      </w:r>
      <w:proofErr w:type="spellStart"/>
      <w:r w:rsidRPr="005267D1">
        <w:t>цианплав</w:t>
      </w:r>
      <w:proofErr w:type="spellEnd"/>
      <w:r w:rsidRPr="005267D1">
        <w:t>, мышьяковистый ангидрид.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</w:p>
    <w:p w:rsidR="005267D1" w:rsidRPr="005267D1" w:rsidRDefault="005267D1" w:rsidP="005267D1">
      <w:pPr>
        <w:pStyle w:val="s3"/>
        <w:spacing w:before="0" w:beforeAutospacing="0" w:after="0" w:afterAutospacing="0"/>
        <w:jc w:val="center"/>
        <w:rPr>
          <w:b/>
        </w:rPr>
      </w:pPr>
      <w:r w:rsidRPr="005267D1">
        <w:rPr>
          <w:b/>
        </w:rPr>
        <w:t>II. Опасные вещества и предметы, взрывчатые вещества, оружие, боеприпасы, разрешенные с соблюдением требуемых условий к перевозке на борту воздушного судна членами экипажа и пассажирами в зарегистрированном багаже и вещах, находящихся при пассажирах</w:t>
      </w:r>
    </w:p>
    <w:p w:rsidR="005267D1" w:rsidRPr="005267D1" w:rsidRDefault="005267D1" w:rsidP="005267D1">
      <w:pPr>
        <w:pStyle w:val="s3"/>
        <w:spacing w:before="0" w:beforeAutospacing="0" w:after="0" w:afterAutospacing="0"/>
        <w:jc w:val="both"/>
      </w:pP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11. При перевозке в зарегистрированном багаже в грузовых, багажных отсеках воздушного судна с изолированным доступом пассажиров к багажу во время полета: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гражданское, служебное, а также боевое ручное стрелковое и холодное оружие в соответствии с </w:t>
      </w:r>
      <w:hyperlink r:id="rId10" w:anchor="/document/10128024/entry/0" w:history="1">
        <w:r w:rsidRPr="005267D1">
          <w:rPr>
            <w:rStyle w:val="a3"/>
            <w:color w:val="000000" w:themeColor="text1"/>
            <w:u w:val="none"/>
          </w:rPr>
          <w:t>Федеральным законом</w:t>
        </w:r>
      </w:hyperlink>
      <w:r w:rsidRPr="005267D1">
        <w:rPr>
          <w:color w:val="000000" w:themeColor="text1"/>
        </w:rPr>
        <w:t xml:space="preserve"> от</w:t>
      </w:r>
      <w:r w:rsidRPr="005267D1">
        <w:t xml:space="preserve"> 13 декабря 1996 г. </w:t>
      </w:r>
      <w:r>
        <w:t>№</w:t>
      </w:r>
      <w:r w:rsidRPr="005267D1">
        <w:t xml:space="preserve"> 150-ФЗ </w:t>
      </w:r>
      <w:r>
        <w:t>«</w:t>
      </w:r>
      <w:r w:rsidRPr="005267D1">
        <w:t>Об оружии</w:t>
      </w:r>
      <w:r>
        <w:t>»</w:t>
      </w:r>
      <w:r w:rsidRPr="005267D1">
        <w:t xml:space="preserve"> в порядке, установленном законодательством Российской Федерации;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gramStart"/>
      <w:r w:rsidRPr="005267D1">
        <w:t>арбалеты, ружья для подводной охоты, шашки, сабли, тесаки, ятаганы, палаши, мечи, шпаги, штыки, кинжалы, ножи: охотничьи, ножи с выбрасывающимися клинками, с запирающими замками, имитаторы любого вида оружия;</w:t>
      </w:r>
      <w:proofErr w:type="gramEnd"/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хозяйственно-бытовые ножи (ножницы) с длиной клинка (лезвия) свыше 60 мм;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алкогольные напитки с содержанием более 24%, но не более 70% алкоголя по объему в емкостях вместимостью не более 5 л, в таре, предназначенной для розничной торговли, - не более 5 л на одного пассажира;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жидкости и алкогольные напитки с содержанием алкоголя по объему не более 24%, упакованные в потребительскую тару, на которую нанесены федеральные специальные марки алкогольной продукции;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аэрозоли, предназначенные для использования в спортивных или бытовых целях, выпускные клапаны баллончиков которых защищены колпачками от самопроизвольного выпуска содержимого, в емкостях вместимостью не более 0,5 кг или 500 мл - не более 2 кг или 2 л на одного пассажира;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термометр медицинский, содержащий ртуть, в стандартном футляре - один на пассажира.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12. При перевозке в вещах, находящихся при пассажирах: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gramStart"/>
      <w:r w:rsidRPr="005267D1">
        <w:lastRenderedPageBreak/>
        <w:t>ртутный термометр медицинский, ртутный барометр или термометр, упакованные в прочный внешний упаковочный комплект, содержащий уплотненный внутренний вкладыш или мешок из прочного непроницаемого или проколостойкого материала, не пропускающего ртуть, который предотвращает утечку ртути из грузового места независимо от его позиции;</w:t>
      </w:r>
      <w:proofErr w:type="gramEnd"/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сухой лед для охлаждения скоропортящихся продуктов - не более 2,5 кг на пассажира;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3% перекись водорода - не более 100 мл на пассажира;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жидкости, гели и аэрозоли, относящиеся к неопасным, в емкостях вместимостью не более 100 мл (или эквивалентной емкостью в других единицах измерения объема), упакованные в закрывающийся прозрачный пластиковый пакет объемом не более 1 л - один пакет на пассажира, в том числе: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лекарственные препараты, специальные диетические продукты, детское питание, в том числе материнское молоко, в количестве, необходимом на время полета;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лекарственные препараты, содержащие наркотические средства, психотропные вещества и их </w:t>
      </w:r>
      <w:proofErr w:type="spellStart"/>
      <w:r w:rsidRPr="005267D1">
        <w:t>прекурсоры</w:t>
      </w:r>
      <w:proofErr w:type="spellEnd"/>
      <w:r w:rsidRPr="005267D1">
        <w:t>, при наличии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подтверждающих назначение пассажиру указанных лекарственных препаратов с указанием их наименования и количества, в количестве, необходимом на время полета;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биологические материалы при наличии у пассажира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устанавливающими порядок перевозки биологических материалов;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proofErr w:type="gramStart"/>
      <w:r w:rsidRPr="005267D1">
        <w:t>жидкости, приобретенные в магазинах беспошлинной торговли на объекте транспортной инфраструктуры воздушного транспорта или на борту воздушного судна и упакованные в запечатанный (опломбированный) пластиковый пакет, обеспечивающий идентификацию доступа к содержимому пакета в течение полета, на котором имеется подтверждение того, что эта покупка произведена в магазинах беспошлинной торговли объекта транспортной инфраструктуры воздушного транспорта или на борту воздушного судна в день (дни) поездки.</w:t>
      </w:r>
      <w:proofErr w:type="gramEnd"/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13. При перевозке членами экипажа воздушного судна - жидкости, аэрозоли и гели в контейнерах емкостью более 100 мл.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14. При перевозке на борту воздушного судна сотрудникам органов федеральной фельдъегерской связи, Межправительственной фельдъегерской связи, сопровождающими корреспонденцию, - боевое ручное стрелковое оружие, патроны к нему и специальные средства.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 xml:space="preserve">15. При отсутствии запрета, установленного субъектом транспортной инфраструктуры, </w:t>
      </w:r>
      <w:proofErr w:type="spellStart"/>
      <w:r w:rsidRPr="005267D1">
        <w:t>эксплуатантом</w:t>
      </w:r>
      <w:proofErr w:type="spellEnd"/>
      <w:r w:rsidRPr="005267D1">
        <w:t xml:space="preserve"> в случае принятия решения о введении дополнительных мер по обеспечению транспортной безопасности на рейсах с повышенной опасностью: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штопоры;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иглы для подкожных инъекций (если не будет представлено медицинское обоснование);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вязальные спицы;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ножницы с длиной лезвия менее 60 мм;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складные (без фиксатора) дорожные, перочинные ножи с длиной лезвия менее 60 мм;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термометры медицинские, содержащие ртуть;</w:t>
      </w:r>
    </w:p>
    <w:p w:rsidR="005267D1" w:rsidRPr="005267D1" w:rsidRDefault="005267D1" w:rsidP="005267D1">
      <w:pPr>
        <w:pStyle w:val="s1"/>
        <w:spacing w:before="0" w:beforeAutospacing="0" w:after="0" w:afterAutospacing="0"/>
        <w:jc w:val="both"/>
      </w:pPr>
      <w:r w:rsidRPr="005267D1">
        <w:t>барометры и термометры ртутные.</w:t>
      </w:r>
    </w:p>
    <w:p w:rsidR="00486C35" w:rsidRPr="005267D1" w:rsidRDefault="00486C35" w:rsidP="0052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6C35" w:rsidRPr="0052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8"/>
    <w:rsid w:val="00486C35"/>
    <w:rsid w:val="005267D1"/>
    <w:rsid w:val="007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67D1"/>
  </w:style>
  <w:style w:type="character" w:styleId="a3">
    <w:name w:val="Hyperlink"/>
    <w:basedOn w:val="a0"/>
    <w:uiPriority w:val="99"/>
    <w:semiHidden/>
    <w:unhideWhenUsed/>
    <w:rsid w:val="005267D1"/>
    <w:rPr>
      <w:color w:val="0000FF"/>
      <w:u w:val="single"/>
    </w:rPr>
  </w:style>
  <w:style w:type="character" w:styleId="a4">
    <w:name w:val="Emphasis"/>
    <w:basedOn w:val="a0"/>
    <w:uiPriority w:val="20"/>
    <w:qFormat/>
    <w:rsid w:val="005267D1"/>
    <w:rPr>
      <w:i/>
      <w:iCs/>
    </w:rPr>
  </w:style>
  <w:style w:type="paragraph" w:customStyle="1" w:styleId="s3">
    <w:name w:val="s_3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67D1"/>
  </w:style>
  <w:style w:type="character" w:styleId="a3">
    <w:name w:val="Hyperlink"/>
    <w:basedOn w:val="a0"/>
    <w:uiPriority w:val="99"/>
    <w:semiHidden/>
    <w:unhideWhenUsed/>
    <w:rsid w:val="005267D1"/>
    <w:rPr>
      <w:color w:val="0000FF"/>
      <w:u w:val="single"/>
    </w:rPr>
  </w:style>
  <w:style w:type="character" w:styleId="a4">
    <w:name w:val="Emphasis"/>
    <w:basedOn w:val="a0"/>
    <w:uiPriority w:val="20"/>
    <w:qFormat/>
    <w:rsid w:val="005267D1"/>
    <w:rPr>
      <w:i/>
      <w:iCs/>
    </w:rPr>
  </w:style>
  <w:style w:type="paragraph" w:customStyle="1" w:styleId="s3">
    <w:name w:val="s_3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0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Ефремычева</dc:creator>
  <cp:keywords/>
  <dc:description/>
  <cp:lastModifiedBy>Ксения Александровна Ефремычева</cp:lastModifiedBy>
  <cp:revision>2</cp:revision>
  <dcterms:created xsi:type="dcterms:W3CDTF">2025-04-10T22:56:00Z</dcterms:created>
  <dcterms:modified xsi:type="dcterms:W3CDTF">2025-04-10T22:59:00Z</dcterms:modified>
</cp:coreProperties>
</file>